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 t'aime (presque toujours) : l'album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Anna Llenas ; trad. de Catherine Hellier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Enfants (3-6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43498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Petits et grands retrouveront avec plaisir l'univers d'Anna Llenas dans cet ouvrage qui met en scène Loulou le garçon et Génie la fille, deux personnages à la vie intérieure bouillonnante et aux caractères opposés. Ils s'aiment mais se disputent souvent. Une histoire réfléchie sur ces différences qui les séparent, sur cette tendresse qui les unit et sur l'alchimie indispensable dans une relation à deux, amicale ou amoureuse. (www.payot.ch)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Quatres Fleuves,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 p. : ill. ; 28 x 28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979-1-02-640281-7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Llenas, Anna (Auteur)</w:t>
            </w:r>
          </w:p>
          <w:p>
            <w:pPr>
              <w:pBdr/>
              <w:spacing/>
              <w:rPr/>
            </w:pPr>
            <w:r>
              <w:rPr>
                <w:rFonts w:ascii="Arial" w:hAnsi="Arial" w:eastAsia="Arial" w:cs="Arial"/>
                <w:b w:val="0"/>
                <w:sz w:val="20"/>
              </w:rPr>
              <w:t xml:space="preserve">Hellier, Catherine (Traducteur)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Différence</w:t>
            </w:r>
          </w:p>
          <w:p>
            <w:pPr>
              <w:pBdr/>
              <w:spacing/>
              <w:rPr>
                <w:rFonts w:ascii="Arial" w:hAnsi="Arial" w:eastAsia="Arial" w:cs="Arial"/>
                <w:b w:val="0"/>
                <w:sz w:val="20"/>
              </w:rPr>
            </w:pPr>
            <w:r>
              <w:rPr>
                <w:rFonts w:ascii="Arial" w:hAnsi="Arial" w:eastAsia="Arial" w:cs="Arial"/>
                <w:b w:val="0"/>
                <w:sz w:val="20"/>
              </w:rPr>
              <w:t xml:space="preserve">Emotions</w:t>
            </w:r>
          </w:p>
          <w:p>
            <w:pPr>
              <w:pBdr/>
              <w:spacing/>
              <w:rPr>
                <w:rFonts w:ascii="Arial" w:hAnsi="Arial" w:eastAsia="Arial" w:cs="Arial"/>
                <w:b w:val="0"/>
                <w:sz w:val="20"/>
              </w:rPr>
            </w:pPr>
            <w:r>
              <w:rPr>
                <w:rFonts w:ascii="Arial" w:hAnsi="Arial" w:eastAsia="Arial" w:cs="Arial"/>
                <w:b w:val="0"/>
                <w:sz w:val="20"/>
              </w:rPr>
              <w:t xml:space="preserve">Tolérance</w:t>
            </w:r>
          </w:p>
          <w:p>
            <w:pPr>
              <w:pBdr/>
              <w:spacing/>
              <w:rPr/>
            </w:pPr>
            <w:r>
              <w:rPr>
                <w:rFonts w:ascii="Arial" w:hAnsi="Arial" w:eastAsia="Arial" w:cs="Arial"/>
                <w:b w:val="0"/>
                <w:sz w:val="20"/>
              </w:rPr>
              <w:t xml:space="preserve">Amour</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 monstre des couleurs va à l'école / Anna Llenas ; [traduction de Lucile Galliot]</w:t>
            </w:r>
          </w:p>
          <w:p>
            <w:pPr>
              <w:pBdr/>
              <w:spacing/>
              <w:rPr>
                <w:rFonts w:ascii="Arial" w:hAnsi="Arial" w:eastAsia="Arial" w:cs="Arial"/>
                <w:b w:val="0"/>
                <w:sz w:val="20"/>
              </w:rPr>
            </w:pPr>
            <w:r>
              <w:rPr>
                <w:rFonts w:ascii="Arial" w:hAnsi="Arial" w:eastAsia="Arial" w:cs="Arial"/>
                <w:b w:val="0"/>
                <w:sz w:val="20"/>
              </w:rPr>
              <w:t xml:space="preserve">Théo la tornade / Anna Llenas ; [trad. de Lucile Galliot]</w:t>
            </w:r>
          </w:p>
          <w:p>
            <w:pPr>
              <w:pBdr/>
              <w:spacing/>
              <w:rPr>
                <w:rFonts w:ascii="Arial" w:hAnsi="Arial" w:eastAsia="Arial" w:cs="Arial"/>
                <w:b w:val="0"/>
                <w:sz w:val="20"/>
              </w:rPr>
            </w:pPr>
            <w:r>
              <w:rPr>
                <w:rFonts w:ascii="Arial" w:hAnsi="Arial" w:eastAsia="Arial" w:cs="Arial"/>
                <w:b w:val="0"/>
                <w:sz w:val="20"/>
              </w:rPr>
              <w:t xml:space="preserve">La couleur des émotions : l'album / Anna Llenas ; [trad. de Marie Antilogus]</w:t>
            </w:r>
          </w:p>
          <w:p>
            <w:pPr>
              <w:pBdr/>
              <w:spacing/>
              <w:rPr>
                <w:rFonts w:ascii="Arial" w:hAnsi="Arial" w:eastAsia="Arial" w:cs="Arial"/>
                <w:b w:val="0"/>
                <w:sz w:val="20"/>
              </w:rPr>
            </w:pPr>
            <w:r>
              <w:rPr>
                <w:rFonts w:ascii="Arial" w:hAnsi="Arial" w:eastAsia="Arial" w:cs="Arial"/>
                <w:b w:val="0"/>
                <w:sz w:val="20"/>
              </w:rPr>
              <w:t xml:space="preserve">Le labyrinthe de l'âme : Un voyage intérieur / Anna Llenas ; [trad. de Lucile Galliot]</w:t>
            </w:r>
          </w:p>
          <w:p>
            <w:pPr>
              <w:pBdr/>
              <w:spacing/>
              <w:rPr>
                <w:rFonts w:ascii="Arial" w:hAnsi="Arial" w:eastAsia="Arial" w:cs="Arial"/>
                <w:b w:val="0"/>
                <w:sz w:val="20"/>
              </w:rPr>
            </w:pPr>
            <w:r>
              <w:rPr>
                <w:rFonts w:ascii="Arial" w:hAnsi="Arial" w:eastAsia="Arial" w:cs="Arial"/>
                <w:b w:val="0"/>
                <w:sz w:val="20"/>
              </w:rPr>
              <w:t xml:space="preserve">Le vide / Anna Llenas</w:t>
            </w:r>
          </w:p>
          <w:p>
            <w:pPr>
              <w:pBdr/>
              <w:spacing/>
              <w:rPr>
                <w:rFonts w:ascii="Arial" w:hAnsi="Arial" w:eastAsia="Arial" w:cs="Arial"/>
                <w:b w:val="0"/>
                <w:sz w:val="20"/>
              </w:rPr>
            </w:pPr>
            <w:r>
              <w:rPr>
                <w:rFonts w:ascii="Arial" w:hAnsi="Arial" w:eastAsia="Arial" w:cs="Arial"/>
                <w:b w:val="0"/>
                <w:sz w:val="20"/>
              </w:rPr>
              <w:t xml:space="preserve">Le monstre des couleurs / Anna Llenas</w:t>
            </w:r>
          </w:p>
          <w:p>
            <w:pPr>
              <w:pBdr/>
              <w:spacing/>
              <w:rPr/>
            </w:pPr>
            <w:r>
              <w:rPr>
                <w:rFonts w:ascii="Arial" w:hAnsi="Arial" w:eastAsia="Arial" w:cs="Arial"/>
                <w:b w:val="0"/>
                <w:sz w:val="20"/>
              </w:rPr>
              <w:t xml:space="preserve">La couleur des émotions : un livre tout animé / Anna Llenas</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16.10.2024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43498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