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 Sawyer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Dir.: Hermine Huntgeburth ; Drehbuch: Sasha Arango ; Musik: Biber Gullatz ; Produzent: Boris Schönfelder ; nach dem Bestseller von Mark Twain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Sprachwahl: Deutsch</w:t>
            </w:r>
          </w:p>
          <w:p>
            <w:pPr>
              <w:pBdr/>
              <w:spacing/>
              <w:rPr>
                <w:rFonts w:ascii="Arial" w:hAnsi="Arial" w:eastAsia="Arial" w:cs="Arial"/>
                <w:b w:val="0"/>
                <w:sz w:val="20"/>
              </w:rPr>
            </w:pPr>
            <w:r>
              <w:rPr>
                <w:rFonts w:ascii="Arial" w:hAnsi="Arial" w:eastAsia="Arial" w:cs="Arial"/>
                <w:b w:val="0"/>
                <w:sz w:val="20"/>
              </w:rPr>
              <w:t xml:space="preserve">Laufzeit: ca. 106 Min.</w:t>
            </w:r>
          </w:p>
          <w:p>
            <w:pPr>
              <w:pBdr/>
              <w:spacing/>
              <w:rPr/>
            </w:pPr>
            <w:r>
              <w:rPr>
                <w:rFonts w:ascii="Arial" w:hAnsi="Arial" w:eastAsia="Arial" w:cs="Arial"/>
                <w:b w:val="0"/>
                <w:sz w:val="20"/>
              </w:rPr>
              <w:t xml:space="preserve">Bildschirm: 16/9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Adolescents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37980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Suivez les aventures de Tom Sawyer, intrépide garçon vivant dans la petite ville de St Petersbourg, sur les bords du Mississippi. Farceur, maladroit, paresseux... il est le cauchemar de sa tante Polly et de ses professeurs. Avec son ami fidèle, Huckleberry Finn, un orphelin vivant seul dans les bois, ils forment un duo inséparable. Un soir, les deux compères assistent, cachés dans le cimetière, à une rixe qui tourne mal entre Joe l`Indien, le docteur et Muff Potter. Ils vont devenir les uniques témoins de l’assassinat du médecin, une mésaventure qui va mettre leur courage à rude épreuve.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Impulse Home Entertainment,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 (136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Huntgeburth, Hermine</w:t>
            </w:r>
          </w:p>
          <w:p>
            <w:pPr>
              <w:pBdr/>
              <w:spacing/>
              <w:rPr>
                <w:rFonts w:ascii="Arial" w:hAnsi="Arial" w:eastAsia="Arial" w:cs="Arial"/>
                <w:b w:val="0"/>
                <w:sz w:val="20"/>
              </w:rPr>
            </w:pPr>
            <w:r>
              <w:rPr>
                <w:rFonts w:ascii="Arial" w:hAnsi="Arial" w:eastAsia="Arial" w:cs="Arial"/>
                <w:b w:val="0"/>
                <w:sz w:val="20"/>
              </w:rPr>
              <w:t xml:space="preserve">Twain, Mark</w:t>
            </w:r>
          </w:p>
          <w:p>
            <w:pPr>
              <w:pBdr/>
              <w:spacing/>
              <w:rPr>
                <w:rFonts w:ascii="Arial" w:hAnsi="Arial" w:eastAsia="Arial" w:cs="Arial"/>
                <w:b w:val="0"/>
                <w:sz w:val="20"/>
              </w:rPr>
            </w:pPr>
            <w:r>
              <w:rPr>
                <w:rFonts w:ascii="Arial" w:hAnsi="Arial" w:eastAsia="Arial" w:cs="Arial"/>
                <w:b w:val="0"/>
                <w:sz w:val="20"/>
              </w:rPr>
              <w:t xml:space="preserve">Arango, Sascha,</w:t>
            </w:r>
          </w:p>
          <w:p>
            <w:pPr>
              <w:pBdr/>
              <w:spacing/>
              <w:rPr>
                <w:rFonts w:ascii="Arial" w:hAnsi="Arial" w:eastAsia="Arial" w:cs="Arial"/>
                <w:b w:val="0"/>
                <w:sz w:val="20"/>
              </w:rPr>
            </w:pPr>
            <w:r>
              <w:rPr>
                <w:rFonts w:ascii="Arial" w:hAnsi="Arial" w:eastAsia="Arial" w:cs="Arial"/>
                <w:b w:val="0"/>
                <w:sz w:val="20"/>
              </w:rPr>
              <w:t xml:space="preserve">Gullatz, Biber</w:t>
            </w:r>
          </w:p>
          <w:p>
            <w:pPr>
              <w:pBdr/>
              <w:spacing/>
              <w:rPr/>
            </w:pPr>
            <w:r>
              <w:rPr>
                <w:rFonts w:ascii="Arial" w:hAnsi="Arial" w:eastAsia="Arial" w:cs="Arial"/>
                <w:b w:val="0"/>
                <w:sz w:val="20"/>
              </w:rPr>
              <w:t xml:space="preserve">Schönfelder, Boris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DVD/TOM</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37980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