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Naître fille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Alice Dussutour ; préface Clémentine Beauvais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Cinq jeunes filles originaires du Népal, du Mexique, de l'Afghanistan, du Kenya et de la France racontent leur quotidien et la manière dont elles vivent leur adolescence en lien avec les coutumes de leur pays. Des pages documentaires apportent un éclairage sur les thèmes abordés : mariage forcé, règles, harcèlement de rue, patriarcat, entre autres. Electre 2022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Tourtour : Ed. du Ricochet,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166 p.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978-2-35263-380-8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Dussutour, Alice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Corps humain. Anatomie</w:t>
            </w:r>
          </w:p>
          <w:p>
            <w:pPr>
              <w:pBdr/>
              <w:spacing/>
              <w:rPr>
                <w:rFonts w:ascii="Arial" w:hAnsi="Arial" w:eastAsia="Arial" w:cs="Arial"/>
                <w:b w:val="0"/>
                <w:sz w:val="20"/>
              </w:rPr>
            </w:pPr>
            <w:r>
              <w:rPr>
                <w:rFonts w:ascii="Arial" w:hAnsi="Arial" w:eastAsia="Arial" w:cs="Arial"/>
                <w:b w:val="0"/>
                <w:sz w:val="20"/>
              </w:rPr>
              <w:t xml:space="preserve">Condition féminine</w:t>
            </w:r>
          </w:p>
          <w:p>
            <w:pPr>
              <w:pBdr/>
              <w:spacing/>
              <w:rPr>
                <w:rFonts w:ascii="Arial" w:hAnsi="Arial" w:eastAsia="Arial" w:cs="Arial"/>
                <w:b w:val="0"/>
                <w:sz w:val="20"/>
              </w:rPr>
            </w:pPr>
            <w:r>
              <w:rPr>
                <w:rFonts w:ascii="Arial" w:hAnsi="Arial" w:eastAsia="Arial" w:cs="Arial"/>
                <w:b w:val="0"/>
                <w:sz w:val="20"/>
              </w:rPr>
              <w:t xml:space="preserve">Excision</w:t>
            </w:r>
          </w:p>
          <w:p>
            <w:pPr>
              <w:pBdr/>
              <w:spacing/>
              <w:rPr>
                <w:rFonts w:ascii="Arial" w:hAnsi="Arial" w:eastAsia="Arial" w:cs="Arial"/>
                <w:b w:val="0"/>
                <w:sz w:val="20"/>
              </w:rPr>
            </w:pPr>
            <w:r>
              <w:rPr>
                <w:rFonts w:ascii="Arial" w:hAnsi="Arial" w:eastAsia="Arial" w:cs="Arial"/>
                <w:b w:val="0"/>
                <w:sz w:val="20"/>
              </w:rPr>
              <w:t xml:space="preserve">Violence</w:t>
            </w:r>
          </w:p>
          <w:p>
            <w:pPr>
              <w:pBdr/>
              <w:spacing/>
              <w:rPr>
                <w:rFonts w:ascii="Arial" w:hAnsi="Arial" w:eastAsia="Arial" w:cs="Arial"/>
                <w:b w:val="0"/>
                <w:sz w:val="20"/>
              </w:rPr>
            </w:pPr>
            <w:r>
              <w:rPr>
                <w:rFonts w:ascii="Arial" w:hAnsi="Arial" w:eastAsia="Arial" w:cs="Arial"/>
                <w:b w:val="0"/>
                <w:sz w:val="20"/>
              </w:rPr>
              <w:t xml:space="preserve">Croyances</w:t>
            </w:r>
          </w:p>
          <w:p>
            <w:pPr>
              <w:pBdr/>
              <w:spacing/>
              <w:rPr>
                <w:rFonts w:ascii="Arial" w:hAnsi="Arial" w:eastAsia="Arial" w:cs="Arial"/>
                <w:b w:val="0"/>
                <w:sz w:val="20"/>
              </w:rPr>
            </w:pPr>
            <w:r>
              <w:rPr>
                <w:rFonts w:ascii="Arial" w:hAnsi="Arial" w:eastAsia="Arial" w:cs="Arial"/>
                <w:b w:val="0"/>
                <w:sz w:val="20"/>
              </w:rPr>
              <w:t xml:space="preserve">Harcèlement</w:t>
            </w:r>
          </w:p>
          <w:p>
            <w:pPr>
              <w:pBdr/>
              <w:spacing/>
              <w:rPr>
                <w:rFonts w:ascii="Arial" w:hAnsi="Arial" w:eastAsia="Arial" w:cs="Arial"/>
                <w:b w:val="0"/>
                <w:sz w:val="20"/>
              </w:rPr>
            </w:pPr>
            <w:r>
              <w:rPr>
                <w:rFonts w:ascii="Arial" w:hAnsi="Arial" w:eastAsia="Arial" w:cs="Arial"/>
                <w:b w:val="0"/>
                <w:sz w:val="20"/>
              </w:rPr>
              <w:t xml:space="preserve">Femmes opprimées</w:t>
            </w:r>
          </w:p>
          <w:p>
            <w:pPr>
              <w:pBdr/>
              <w:spacing/>
              <w:rPr>
                <w:rFonts w:ascii="Arial" w:hAnsi="Arial" w:eastAsia="Arial" w:cs="Arial"/>
                <w:b w:val="0"/>
                <w:sz w:val="20"/>
              </w:rPr>
            </w:pPr>
            <w:r>
              <w:rPr>
                <w:rFonts w:ascii="Arial" w:hAnsi="Arial" w:eastAsia="Arial" w:cs="Arial"/>
                <w:b w:val="0"/>
                <w:sz w:val="20"/>
              </w:rPr>
              <w:t xml:space="preserve">Relations humaines. Humiliations</w:t>
            </w:r>
          </w:p>
          <w:p>
            <w:pPr>
              <w:pBdr/>
              <w:spacing/>
              <w:rPr/>
            </w:pPr>
            <w:r>
              <w:rPr>
                <w:rFonts w:ascii="Arial" w:hAnsi="Arial" w:eastAsia="Arial" w:cs="Arial"/>
                <w:b w:val="0"/>
                <w:sz w:val="20"/>
              </w:rPr>
              <w:t xml:space="preserve">Corps humain. Règles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petit guide de la foufoune sexuelle : de 12 à 16 ans : puberté, émotions, respect &amp; scolarité, anatomies, vulve, clitoris, vagin &amp; pénis, les règles &amp; les poils, l'amitié &amp; l'amour, sexualité première fois &amp; idées reçues, identités, liberté &amp; droi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45793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