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temps des ogres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Michelle Montmoulineix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Victoire, 13 ans, n'a jamais connu l'eau en abondance. Dans le village où elle a grandi, comme partout ailleurs dans le monde, celle-ci est rationnée par les puissants. Après l'injuste emprisonnement de ses tantes qui l'ont élevée, Victoire se voit forcée de fuir. Comme ses parents bien longtemps avant elle et son ami Pavel, elle prend le chemin du Lac Baïkal, cette dernière réserve d'eau où l'on dit que la vie est encore douce... Mais elle emprunte le lit de la rivière asséchée dans le mauvais sens et, après bien des rencontres apportant chacune leur lot d'aventures, elle se retrouve au pied d'un cargo échoué, qui semble habité... Après Baleine Rouge, le nouveau roman de Michelle Montmoulineix : une épopée dystopique où l'inoubliable héroïne devient la gardienne de la beauté du monde.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Hélium/Actes Sud,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978-2-330-18249-6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Montmoulineix, Michelle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Baleine rouge / Michelle Montmoulineix</w:t>
            </w:r>
          </w:p>
          <w:p>
            <w:pPr>
              <w:pBdr/>
              <w:spacing/>
              <w:rPr/>
            </w:pPr>
            <w:r>
              <w:rPr>
                <w:rFonts w:ascii="Arial" w:hAnsi="Arial" w:eastAsia="Arial" w:cs="Arial"/>
                <w:b w:val="0"/>
                <w:sz w:val="20"/>
              </w:rPr>
              <w:t xml:space="preserve">Une famille pour Ramsès / une histoire de Michelle Montmoulineix ;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MONT</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