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(Verfasser)</w:t>
            </w:r>
          </w:p>
          <w:p>
            <w:pPr>
              <w:pBdr/>
              <w:spacing/>
              <w:rPr>
                <w:rFonts w:ascii="Arial" w:hAnsi="Arial" w:eastAsia="Arial" w:cs="Arial"/>
                <w:b w:val="0"/>
                <w:sz w:val="20"/>
              </w:rPr>
            </w:pPr>
            <w:r>
              <w:rPr>
                <w:rFonts w:ascii="Arial" w:hAnsi="Arial" w:eastAsia="Arial" w:cs="Arial"/>
                <w:b w:val="0"/>
                <w:sz w:val="20"/>
              </w:rPr>
              <w:t xml:space="preserve">Simon, Laura (Verfasser)</w:t>
            </w:r>
          </w:p>
          <w:p>
            <w:pPr>
              <w:pBdr/>
              <w:spacing/>
              <w:rPr/>
            </w:pPr>
            <w:r>
              <w:rPr>
                <w:rFonts w:ascii="Arial" w:hAnsi="Arial" w:eastAsia="Arial" w:cs="Arial"/>
                <w:b w:val="0"/>
                <w:sz w:val="20"/>
              </w:rPr>
              <w:t xml:space="preserve">Brasliņa, Elīna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