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&amp; Times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Candy Harper ; traduit de l'anglais par Diane Gagneret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oppose Bradlee et Eugenie. L'une, citadine, est très connectée et déprime depuis que ses parents l'ont déracinée de Londres pour l'envoyer dans un pensionnat à la campagne. L'autre, vivant au début du XIXe siècle, rêve d'indépendance alors que son père lui cherche un mari. Souhaitant changer de vie, les deux adolescentes sont mystérieusement envoyées chacune dans l'époque de l'autre.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978-2-37554-261-3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Harper, Candy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Femmes</w:t>
            </w:r>
          </w:p>
          <w:p>
            <w:pPr>
              <w:pBdr/>
              <w:spacing/>
              <w:rPr/>
            </w:pPr>
            <w:r>
              <w:rPr>
                <w:rFonts w:ascii="Arial" w:hAnsi="Arial" w:eastAsia="Arial" w:cs="Arial"/>
                <w:b w:val="0"/>
                <w:sz w:val="20"/>
              </w:rPr>
              <w:t xml:space="preserve">Histoire. 19e siècle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HARP</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44972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