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Astérix aux jeux olympiques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Frédéric Forestier et Thomas Langmann ; tiré de l'oeuvre de René Goscinny et Albert Uderzo ; scénario Alexandre Charlot ... [et al.] ; mus. Frédéric Talgorn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Une prod.: Pathé Renn Prod. - La Petite Reine - Tri pictures SA, cop. 2007</w:t>
            </w:r>
          </w:p>
          <w:p>
            <w:pPr>
              <w:pBdr/>
              <w:spacing/>
              <w:rPr>
                <w:rFonts w:ascii="Arial" w:hAnsi="Arial" w:eastAsia="Arial" w:cs="Arial"/>
                <w:b w:val="0"/>
                <w:sz w:val="20"/>
              </w:rPr>
            </w:pPr>
            <w:r>
              <w:rPr>
                <w:rFonts w:ascii="Arial" w:hAnsi="Arial" w:eastAsia="Arial" w:cs="Arial"/>
                <w:b w:val="0"/>
                <w:sz w:val="20"/>
              </w:rPr>
              <w:t xml:space="preserve">Langue: français. Sous-titres: français pour sourds et malentendants</w:t>
            </w:r>
          </w:p>
          <w:p>
            <w:pPr>
              <w:pBdr/>
              <w:spacing/>
              <w:rPr/>
            </w:pPr>
            <w:r>
              <w:rPr>
                <w:rFonts w:ascii="Arial" w:hAnsi="Arial" w:eastAsia="Arial" w:cs="Arial"/>
                <w:b w:val="0"/>
                <w:sz w:val="20"/>
              </w:rPr>
              <w:t xml:space="preserve">Inspiré de la bande dessinée éponyme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35632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Nous sommes en 50 avant Jésus-Christ, toute la Gaule est occupée par les romains... Toute ? Non ! Pour ces nouvelles aventures, nos irréductibles gaulois ont fait le déplacement jusqu'en Grèce pour participer aux Jeux Olympiques. Une occasion de plus pour Astérix et Obélix de mettre une bonne raclée aux romains. Mais le machiavélique Brutus, fils de César, a plus d'un tour dans son sac... il va y avoir du sport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Pathé!, 2008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 DVD-vidéo en 1 coffret (112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Forestier, Frédéric</w:t>
            </w:r>
          </w:p>
          <w:p>
            <w:pPr>
              <w:pBdr/>
              <w:spacing/>
              <w:rPr>
                <w:rFonts w:ascii="Arial" w:hAnsi="Arial" w:eastAsia="Arial" w:cs="Arial"/>
                <w:b w:val="0"/>
                <w:sz w:val="20"/>
              </w:rPr>
            </w:pPr>
            <w:r>
              <w:rPr>
                <w:rFonts w:ascii="Arial" w:hAnsi="Arial" w:eastAsia="Arial" w:cs="Arial"/>
                <w:b w:val="0"/>
                <w:sz w:val="20"/>
              </w:rPr>
              <w:t xml:space="preserve">Langmann, Thomas</w:t>
            </w:r>
          </w:p>
          <w:p>
            <w:pPr>
              <w:pBdr/>
              <w:spacing/>
              <w:rPr>
                <w:rFonts w:ascii="Arial" w:hAnsi="Arial" w:eastAsia="Arial" w:cs="Arial"/>
                <w:b w:val="0"/>
                <w:sz w:val="20"/>
              </w:rPr>
            </w:pPr>
            <w:r>
              <w:rPr>
                <w:rFonts w:ascii="Arial" w:hAnsi="Arial" w:eastAsia="Arial" w:cs="Arial"/>
                <w:b w:val="0"/>
                <w:sz w:val="20"/>
              </w:rPr>
              <w:t xml:space="preserve">Uderzo, Albert</w:t>
            </w:r>
          </w:p>
          <w:p>
            <w:pPr>
              <w:pBdr/>
              <w:spacing/>
              <w:rPr>
                <w:rFonts w:ascii="Arial" w:hAnsi="Arial" w:eastAsia="Arial" w:cs="Arial"/>
                <w:b w:val="0"/>
                <w:sz w:val="20"/>
              </w:rPr>
            </w:pPr>
            <w:r>
              <w:rPr>
                <w:rFonts w:ascii="Arial" w:hAnsi="Arial" w:eastAsia="Arial" w:cs="Arial"/>
                <w:b w:val="0"/>
                <w:sz w:val="20"/>
              </w:rPr>
              <w:t xml:space="preserve">Charlot, Alexandre</w:t>
            </w:r>
          </w:p>
          <w:p>
            <w:pPr>
              <w:pBdr/>
              <w:spacing/>
              <w:rPr>
                <w:rFonts w:ascii="Arial" w:hAnsi="Arial" w:eastAsia="Arial" w:cs="Arial"/>
                <w:b w:val="0"/>
                <w:sz w:val="20"/>
              </w:rPr>
            </w:pPr>
            <w:r>
              <w:rPr>
                <w:rFonts w:ascii="Arial" w:hAnsi="Arial" w:eastAsia="Arial" w:cs="Arial"/>
                <w:b w:val="0"/>
                <w:sz w:val="20"/>
              </w:rPr>
              <w:t xml:space="preserve">Talgorn, Frédéric</w:t>
            </w:r>
          </w:p>
          <w:p>
            <w:pPr>
              <w:pBdr/>
              <w:spacing/>
              <w:rPr/>
            </w:pPr>
            <w:r>
              <w:rPr>
                <w:rFonts w:ascii="Arial" w:hAnsi="Arial" w:eastAsia="Arial" w:cs="Arial"/>
                <w:b w:val="0"/>
                <w:sz w:val="20"/>
              </w:rPr>
              <w:t xml:space="preserve">Goscinny, René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DVD/ASTE</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35632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