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dame du lac perdu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dessin &amp; couleurs, Wauter Mannaert ; scénario, Frédéric Maupomé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quête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47845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Depuis mille ans, le roi Pellinor et ses descendants traquent la Bête... et échouent lamentablement. Du coup, c'est au tour de Pelli de se lancer dans la quête familiale. Ça tombe bien, parce qu'il est présentement sans véritable emploi - et puis ça fait super plaisir à son grand-père qu'il reprenne le flambeau. Après, on ne va pas se mentir... Pelli n'a pas les capacités physiques dignes des chevaliers de légende et son acolyte, la Dame du lac, a perdu sa magie. Dans un monde qui change, où le merveilleux laisse la place à la banalité, leur quête s'annonce un vrai défi. Mais après tout, l'important, dans une quête, n'est-ce pas le chemin plutôt que la destination...?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Bruxelles : Le Lombard,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(120 p.) : ill. en coul.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978-2-8082-1254-0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Mannaert, Wauter 1978- (Illustrateur)</w:t>
            </w:r>
          </w:p>
          <w:p>
            <w:pPr>
              <w:pBdr/>
              <w:spacing/>
              <w:rPr/>
            </w:pPr>
            <w:r>
              <w:rPr>
                <w:rFonts w:ascii="Arial" w:hAnsi="Arial" w:eastAsia="Arial" w:cs="Arial"/>
                <w:b w:val="0"/>
                <w:sz w:val="20"/>
              </w:rPr>
              <w:t xml:space="preserve">Maupomé, Frédéric (Auteur)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2O/R</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47845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