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Gallimard jeunesse : un outil indispensable pour le collège et le lycée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 de ce « classique » de la géographie. Cet atlas débute par un rappel des principes de la cartographie puis par une présentation de la Terre. Ensuite, il offre aux lecteurs un ensemble de cartes du monde en accordant une place importante à la France. Les continents sont détaillés d'abord à échelle générale puis à échelle régionale. Les nombreuses cartes thématiques sont complétées par des photographies et des textes précis. Une mise en pages soignée pour un ouvrage complet et très pédagogique.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978-2-07-518481-6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rFonts w:ascii="Arial" w:hAnsi="Arial" w:eastAsia="Arial" w:cs="Arial"/>
                <w:b w:val="0"/>
                <w:sz w:val="20"/>
              </w:rPr>
            </w:pPr>
            <w:r>
              <w:rPr>
                <w:rFonts w:ascii="Arial" w:hAnsi="Arial" w:eastAsia="Arial" w:cs="Arial"/>
                <w:b w:val="0"/>
                <w:sz w:val="20"/>
              </w:rPr>
              <w:t xml:space="preserve">Géographie</w:t>
            </w:r>
          </w:p>
          <w:p>
            <w:pPr>
              <w:pBdr/>
              <w:spacing/>
              <w:rPr/>
            </w:pPr>
            <w:r>
              <w:rPr>
                <w:rFonts w:ascii="Arial" w:hAnsi="Arial" w:eastAsia="Arial" w:cs="Arial"/>
                <w:b w:val="0"/>
                <w:sz w:val="20"/>
              </w:rPr>
              <w:t xml:space="preserve">Cartographie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