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Alemagna, Beatrice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Bertha et moi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Bright, Rachel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Jacotte l'escargote qui voulait devenir cosmonaute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Escoffier, Michae͏̈l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crocodile à grande dents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Higuera, Donna Barba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Zeta-1 : année zéro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HIGU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John, Jory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mauvaise graine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Martinez, Anthony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lurons de la forêt : une comédie en [5] actes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Pouchain, Martine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forêt pour te dire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Aussir, Cédric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Pinocchio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Baer, Julien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L'arrosoir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Delabroy-Allard, Pauline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Aller bon train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Dugal, Matthieu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IA : comment les machines pourraient nous remplacer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Fabre, Caroline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Balade en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Fargetton, Manon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marches des géants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Flamant, Gaspard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magni-freaks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Grindley, Sally 1953-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l'amour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Heliot, Johan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Nouvelle 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Houdart,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formidables journées de Piloursine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Liao, Jimmy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une même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te caches-tu ? : 20 volets à soulever pour enquêter sur la nature invisible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Matsushita, Saeko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2A/B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Montmoulineix, Michelle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temps des ogres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Nakamura, Junko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Chez Bergamote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Palacio, R.J.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Pony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Perez, Sébastien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L'enfance des méchants, des vilaines et des affreux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Sala,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Hansel &amp; Gretel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Small,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Courage, petit ours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Tee, Allira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Tigre &amp; 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Tolman, Marije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Egalus : le petit hérisson de la grande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Vaugelade, Anaïs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Khaïm Quichon lit un livre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Yang Yang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les traces des mammouths : des premiers proboscidiens aux éléphantidés modernes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Benjamin, Rémy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Prise de bec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Bischoff, Léonie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longue marche des dindes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4L/M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Casterman, Geneviève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L'anniversaire d'Écureuil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Dedieu,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Carnet de voyage auprès de mon arbre : Edmond de Garenne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Druvert,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Fille garçon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Herbauts, Anne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Lundi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Mackesy, Charlie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L'enfant, la taupe, le renard et le cheval : une histoire animée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Meunier, Henri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berger et l'assassin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Paquette, Ammi-Joan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ça dans une noix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Poulin, Andrée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Enterrer la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Sad, Katerina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L'idée du siècle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Yunbo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Seizième printemps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Desbiolles, Maryline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Violante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Escoffier, Michae͏̈l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carte des nuages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 sous-marine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Harper, Candy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Life &amp; Times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Moore, Inga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bibliobus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New York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Tanco, Miguel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Toutes petites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Thomas,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Renarde : une histoire sur le grand cycle de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Xie, Hua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vacances chez mamie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Albertine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Séraphine : L'anniversaire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Alix,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L'ours et la lune [kamishibaï]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Kamishibaïs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Bachelet,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Résidence beau séjour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Bagieu, Pénélope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Sacrées sorcières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Gazhole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une forme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Jeffers, Oliver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destin de Fausto : une fable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aime bien jouer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est très sensible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Llenas,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t'aime (presque toujours) : l'album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Linda Elovitz 1949-....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Amoureuse de la nature : l'incroyable destin de Beatrix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Mathieu,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l'opéra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Pineur, Catherine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T'es drôle, Alfred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Roux,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L'amie en bois d'érable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Steinmann, Cary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Ting ! : Comment le marketing séduit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Vallette,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les escargots vont au ciel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Woldańska-Płocińska, Aleksandra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Halte aux déchets ! : zéro gâchis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